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18)" method="linear sigma" focus="100%" type="gradient"/>
    </v:background>
  </w:background>
  <w:body>
    <w:p w:rsidR="00000000" w:rsidRDefault="00061BF9">
      <w:pPr>
        <w:pStyle w:val="Header"/>
        <w:tabs>
          <w:tab w:val="clear" w:pos="4703"/>
          <w:tab w:val="clear" w:pos="9406"/>
        </w:tabs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Heat flow from mirror to cryo-vessel as proposed by M. Doets for Adv. Virgo</w:t>
      </w:r>
    </w:p>
    <w:p w:rsidR="00000000" w:rsidRDefault="00061BF9">
      <w:pPr>
        <w:pStyle w:val="Header"/>
        <w:tabs>
          <w:tab w:val="clear" w:pos="4703"/>
          <w:tab w:val="clear" w:pos="9406"/>
        </w:tabs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 xml:space="preserve"> </w:t>
      </w:r>
      <w:r>
        <w:rPr>
          <w:sz w:val="28"/>
          <w:lang w:val="en-US"/>
        </w:rPr>
        <w:t>Eric Hennes, update Januari 25, 2009</w:t>
      </w:r>
    </w:p>
    <w:p w:rsidR="00000000" w:rsidRDefault="00061BF9">
      <w:pPr>
        <w:pStyle w:val="Header"/>
        <w:tabs>
          <w:tab w:val="clear" w:pos="4703"/>
          <w:tab w:val="clear" w:pos="9406"/>
        </w:tabs>
        <w:spacing w:before="120" w:after="120"/>
        <w:rPr>
          <w:lang w:val="en-US"/>
        </w:rPr>
      </w:pPr>
      <w:r>
        <w:rPr>
          <w:lang w:val="en-US"/>
        </w:rPr>
        <w:t xml:space="preserve">The proposed geometry (as relevant for this analysis) is shown in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_Ref220432935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10CC9">
        <w:rPr>
          <w:lang w:val="en-US"/>
        </w:rPr>
        <w:t xml:space="preserve">Figure </w:t>
      </w:r>
      <w:r w:rsidR="00F10CC9">
        <w:rPr>
          <w:noProof/>
          <w:lang w:val="en-US"/>
        </w:rPr>
        <w:t>1</w:t>
      </w:r>
      <w:r>
        <w:rPr>
          <w:lang w:val="en-US"/>
        </w:rPr>
        <w:fldChar w:fldCharType="end"/>
      </w:r>
      <w:r>
        <w:rPr>
          <w:lang w:val="en-US"/>
        </w:rPr>
        <w:t>. The calculations are shown in Table 1 an</w:t>
      </w:r>
      <w:r>
        <w:rPr>
          <w:lang w:val="en-US"/>
        </w:rPr>
        <w:t xml:space="preserve">d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_Ref220431670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10CC9">
        <w:rPr>
          <w:lang w:val="en-US"/>
        </w:rPr>
        <w:t xml:space="preserve">Table </w:t>
      </w:r>
      <w:r w:rsidR="00F10CC9">
        <w:rPr>
          <w:noProof/>
          <w:lang w:val="en-US"/>
        </w:rPr>
        <w:t>2</w:t>
      </w:r>
      <w:r>
        <w:rPr>
          <w:lang w:val="en-US"/>
        </w:rPr>
        <w:fldChar w:fldCharType="end"/>
      </w:r>
      <w:r>
        <w:rPr>
          <w:lang w:val="en-US"/>
        </w:rPr>
        <w:t>. We also discuss the consequences for the optical perfor</w:t>
      </w:r>
      <w:r>
        <w:rPr>
          <w:lang w:val="en-US"/>
        </w:rPr>
        <w:t>m</w:t>
      </w:r>
      <w:r>
        <w:rPr>
          <w:lang w:val="en-US"/>
        </w:rPr>
        <w:t>ance of the mirror.</w:t>
      </w:r>
    </w:p>
    <w:p w:rsidR="00000000" w:rsidRDefault="00061BF9">
      <w:pPr>
        <w:pStyle w:val="Header"/>
        <w:tabs>
          <w:tab w:val="clear" w:pos="4703"/>
          <w:tab w:val="clear" w:pos="9406"/>
        </w:tabs>
        <w:rPr>
          <w:b/>
          <w:bCs/>
        </w:rPr>
      </w:pPr>
      <w:r>
        <w:rPr>
          <w:b/>
          <w:bCs/>
        </w:rPr>
        <w:t>Method.</w:t>
      </w:r>
    </w:p>
    <w:p w:rsidR="00000000" w:rsidRDefault="00061BF9">
      <w:pPr>
        <w:pStyle w:val="BodyText2"/>
        <w:rPr>
          <w:lang w:val="en-US"/>
        </w:rPr>
      </w:pPr>
      <w:r>
        <w:rPr>
          <w:lang w:val="en-US"/>
        </w:rPr>
        <w:t xml:space="preserve">The netto heat transfer between two flat surfaces 1 and 2 having temperatures </w:t>
      </w:r>
      <w:r>
        <w:rPr>
          <w:i/>
          <w:iCs/>
          <w:lang w:val="en-US"/>
        </w:rPr>
        <w:t>T</w:t>
      </w:r>
      <w:r>
        <w:rPr>
          <w:vertAlign w:val="subscript"/>
          <w:lang w:val="en-US"/>
        </w:rPr>
        <w:t>1,2</w:t>
      </w:r>
      <w:r>
        <w:rPr>
          <w:lang w:val="en-US"/>
        </w:rPr>
        <w:t xml:space="preserve">, emissivities </w:t>
      </w:r>
      <w:r>
        <w:rPr>
          <w:i/>
          <w:iCs/>
          <w:lang w:val="en-US"/>
        </w:rPr>
        <w:t>e</w:t>
      </w:r>
      <w:r>
        <w:rPr>
          <w:vertAlign w:val="subscript"/>
          <w:lang w:val="en-US"/>
        </w:rPr>
        <w:t>1,2</w:t>
      </w:r>
      <w:r>
        <w:rPr>
          <w:lang w:val="en-US"/>
        </w:rPr>
        <w:t xml:space="preserve"> , areas </w:t>
      </w:r>
      <w:r>
        <w:rPr>
          <w:i/>
          <w:iCs/>
          <w:lang w:val="en-US"/>
        </w:rPr>
        <w:t>A</w:t>
      </w:r>
      <w:r>
        <w:rPr>
          <w:vertAlign w:val="subscript"/>
          <w:lang w:val="en-US"/>
        </w:rPr>
        <w:t>1,2</w:t>
      </w:r>
      <w:r>
        <w:rPr>
          <w:lang w:val="en-US"/>
        </w:rPr>
        <w:t xml:space="preserve"> and mutual view fact</w:t>
      </w:r>
      <w:r>
        <w:rPr>
          <w:lang w:val="en-US"/>
        </w:rPr>
        <w:t xml:space="preserve">ors </w:t>
      </w:r>
      <w:r>
        <w:rPr>
          <w:i/>
          <w:iCs/>
          <w:lang w:val="en-US"/>
        </w:rPr>
        <w:t>F</w:t>
      </w:r>
      <w:r>
        <w:rPr>
          <w:vertAlign w:val="subscript"/>
          <w:lang w:val="en-US"/>
        </w:rPr>
        <w:t>12, 21</w:t>
      </w:r>
      <w:r>
        <w:rPr>
          <w:lang w:val="en-US"/>
        </w:rPr>
        <w:t xml:space="preserve"> is given by (Msc-Marc 2005 Manual A, formula 6.12): </w:t>
      </w:r>
    </w:p>
    <w:p w:rsidR="00000000" w:rsidRDefault="00061BF9">
      <w:pPr>
        <w:pStyle w:val="Header"/>
        <w:tabs>
          <w:tab w:val="clear" w:pos="4703"/>
          <w:tab w:val="clear" w:pos="9406"/>
        </w:tabs>
        <w:spacing w:before="120" w:after="120"/>
        <w:ind w:firstLine="709"/>
        <w:rPr>
          <w:lang w:val="en-US"/>
        </w:rPr>
      </w:pPr>
      <w:r>
        <w:rPr>
          <w:position w:val="-30"/>
        </w:rPr>
        <w:object w:dxaOrig="373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36.75pt" o:ole="">
            <v:imagedata r:id="rId7" o:title=""/>
          </v:shape>
          <o:OLEObject Type="Embed" ProgID="Equation.3" ShapeID="_x0000_i1025" DrawAspect="Content" ObjectID="_1366222253" r:id="rId8"/>
        </w:object>
      </w:r>
      <w:r>
        <w:rPr>
          <w:lang w:val="en-US"/>
        </w:rPr>
        <w:t xml:space="preserve">, where  </w:t>
      </w:r>
      <w:r>
        <w:rPr>
          <w:i/>
          <w:iCs/>
          <w:sz w:val="22"/>
          <w:lang w:val="en-US"/>
        </w:rPr>
        <w:t>A</w:t>
      </w:r>
      <w:r>
        <w:rPr>
          <w:i/>
          <w:iCs/>
          <w:sz w:val="22"/>
          <w:vertAlign w:val="subscript"/>
          <w:lang w:val="en-US"/>
        </w:rPr>
        <w:t>1</w:t>
      </w:r>
      <w:r>
        <w:rPr>
          <w:i/>
          <w:iCs/>
          <w:sz w:val="22"/>
          <w:lang w:val="en-US"/>
        </w:rPr>
        <w:t>F</w:t>
      </w:r>
      <w:r>
        <w:rPr>
          <w:i/>
          <w:iCs/>
          <w:sz w:val="22"/>
          <w:vertAlign w:val="subscript"/>
          <w:lang w:val="en-US"/>
        </w:rPr>
        <w:t>12</w:t>
      </w:r>
      <w:r>
        <w:rPr>
          <w:sz w:val="22"/>
          <w:vertAlign w:val="subscript"/>
          <w:lang w:val="en-US"/>
        </w:rPr>
        <w:t xml:space="preserve"> </w:t>
      </w:r>
      <w:r>
        <w:rPr>
          <w:sz w:val="22"/>
          <w:lang w:val="en-US"/>
        </w:rPr>
        <w:t>=</w:t>
      </w:r>
      <w:r>
        <w:rPr>
          <w:i/>
          <w:iCs/>
          <w:sz w:val="22"/>
          <w:lang w:val="en-US"/>
        </w:rPr>
        <w:t>A</w:t>
      </w:r>
      <w:r>
        <w:rPr>
          <w:i/>
          <w:iCs/>
          <w:sz w:val="22"/>
          <w:vertAlign w:val="subscript"/>
          <w:lang w:val="en-US"/>
        </w:rPr>
        <w:t>2</w:t>
      </w:r>
      <w:r>
        <w:rPr>
          <w:i/>
          <w:iCs/>
          <w:sz w:val="22"/>
          <w:lang w:val="en-US"/>
        </w:rPr>
        <w:t>F</w:t>
      </w:r>
      <w:r>
        <w:rPr>
          <w:i/>
          <w:iCs/>
          <w:sz w:val="22"/>
          <w:vertAlign w:val="subscript"/>
          <w:lang w:val="en-US"/>
        </w:rPr>
        <w:t xml:space="preserve">21 </w:t>
      </w:r>
      <w:r>
        <w:rPr>
          <w:sz w:val="22"/>
          <w:lang w:val="en-US"/>
        </w:rPr>
        <w:t xml:space="preserve"> (reciprocity condition)</w:t>
      </w:r>
    </w:p>
    <w:p w:rsidR="00000000" w:rsidRDefault="00061BF9">
      <w:pPr>
        <w:autoSpaceDE w:val="0"/>
        <w:autoSpaceDN w:val="0"/>
        <w:adjustRightInd w:val="0"/>
        <w:rPr>
          <w:sz w:val="22"/>
          <w:lang w:val="en-US"/>
        </w:rPr>
      </w:pPr>
      <w:r>
        <w:rPr>
          <w:sz w:val="22"/>
          <w:lang w:val="en-US"/>
        </w:rPr>
        <w:t xml:space="preserve">For circular surfaces with sharing their axis of symmetry </w:t>
      </w:r>
      <w:r>
        <w:rPr>
          <w:i/>
          <w:iCs/>
          <w:sz w:val="22"/>
          <w:lang w:val="en-US"/>
        </w:rPr>
        <w:t>F</w:t>
      </w:r>
      <w:r>
        <w:rPr>
          <w:i/>
          <w:iCs/>
          <w:sz w:val="22"/>
          <w:vertAlign w:val="subscript"/>
          <w:lang w:val="en-US"/>
        </w:rPr>
        <w:t>12</w:t>
      </w:r>
      <w:r>
        <w:rPr>
          <w:sz w:val="22"/>
          <w:lang w:val="en-US"/>
        </w:rPr>
        <w:t xml:space="preserve"> is, with diameters</w:t>
      </w:r>
      <w:r>
        <w:rPr>
          <w:i/>
          <w:iCs/>
          <w:sz w:val="22"/>
          <w:lang w:val="en-US"/>
        </w:rPr>
        <w:t xml:space="preserve"> D</w:t>
      </w:r>
      <w:r>
        <w:rPr>
          <w:sz w:val="22"/>
          <w:vertAlign w:val="subscript"/>
          <w:lang w:val="en-US"/>
        </w:rPr>
        <w:t>1,2</w:t>
      </w:r>
      <w:r>
        <w:rPr>
          <w:sz w:val="22"/>
          <w:lang w:val="en-US"/>
        </w:rPr>
        <w:t xml:space="preserve"> and mutual distance </w:t>
      </w:r>
      <w:r>
        <w:rPr>
          <w:i/>
          <w:iCs/>
          <w:sz w:val="22"/>
          <w:lang w:val="en-US"/>
        </w:rPr>
        <w:t>d</w:t>
      </w:r>
      <w:r>
        <w:rPr>
          <w:sz w:val="22"/>
          <w:lang w:val="en-US"/>
        </w:rPr>
        <w:t xml:space="preserve"> given by (Lie</w:t>
      </w:r>
      <w:r>
        <w:rPr>
          <w:sz w:val="22"/>
          <w:lang w:val="en-US"/>
        </w:rPr>
        <w:t>n</w:t>
      </w:r>
      <w:r>
        <w:rPr>
          <w:sz w:val="22"/>
          <w:lang w:val="en-US"/>
        </w:rPr>
        <w:t>hard &amp; Lienhard, Heat transfer textbook, 3rd ed., Table 10.3):</w:t>
      </w:r>
    </w:p>
    <w:bookmarkStart w:id="0" w:name="OLE_LINK1"/>
    <w:p w:rsidR="00000000" w:rsidRDefault="00061BF9">
      <w:pPr>
        <w:autoSpaceDE w:val="0"/>
        <w:autoSpaceDN w:val="0"/>
        <w:adjustRightInd w:val="0"/>
        <w:spacing w:before="120" w:after="120"/>
        <w:ind w:left="709"/>
        <w:rPr>
          <w:sz w:val="22"/>
        </w:rPr>
      </w:pPr>
      <w:r>
        <w:rPr>
          <w:position w:val="-42"/>
          <w:sz w:val="22"/>
        </w:rPr>
        <w:object w:dxaOrig="6259" w:dyaOrig="960">
          <v:shape id="_x0000_i1026" type="#_x0000_t75" style="width:312.75pt;height:48pt" o:ole="">
            <v:imagedata r:id="rId9" o:title=""/>
          </v:shape>
          <o:OLEObject Type="Embed" ProgID="Equation.3" ShapeID="_x0000_i1026" DrawAspect="Content" ObjectID="_1366222254" r:id="rId10"/>
        </w:object>
      </w:r>
    </w:p>
    <w:bookmarkEnd w:id="0"/>
    <w:p w:rsidR="00000000" w:rsidRDefault="00061BF9">
      <w:pPr>
        <w:pStyle w:val="Header"/>
        <w:tabs>
          <w:tab w:val="clear" w:pos="4703"/>
          <w:tab w:val="clear" w:pos="9406"/>
        </w:tabs>
        <w:rPr>
          <w:b/>
          <w:bCs/>
          <w:lang w:val="en-US"/>
        </w:rPr>
      </w:pPr>
      <w:r>
        <w:rPr>
          <w:b/>
          <w:bCs/>
          <w:lang w:val="en-US"/>
        </w:rPr>
        <w:t>Result.</w:t>
      </w:r>
    </w:p>
    <w:p w:rsidR="00000000" w:rsidRDefault="00061BF9">
      <w:pPr>
        <w:pStyle w:val="Header"/>
        <w:tabs>
          <w:tab w:val="clear" w:pos="4703"/>
          <w:tab w:val="clear" w:pos="9406"/>
        </w:tabs>
        <w:spacing w:after="120"/>
        <w:rPr>
          <w:lang w:val="en-US"/>
        </w:rPr>
      </w:pPr>
      <w:r>
        <w:rPr>
          <w:lang w:val="en-US"/>
        </w:rPr>
        <w:t>The expected heat transfer is about 75 mW, which e</w:t>
      </w:r>
      <w:r>
        <w:rPr>
          <w:lang w:val="en-US"/>
        </w:rPr>
        <w:t>x</w:t>
      </w:r>
      <w:r>
        <w:rPr>
          <w:lang w:val="en-US"/>
        </w:rPr>
        <w:t>ceeds the nominal absorption of beam power, which was estimated as 7.5 mW for present Virgo at full power. Ho</w:t>
      </w:r>
      <w:r>
        <w:rPr>
          <w:lang w:val="en-US"/>
        </w:rPr>
        <w:t>wever, this 10 times larger power will be distributed over a 50 times larger area, as the beam diam</w:t>
      </w:r>
      <w:r>
        <w:rPr>
          <w:lang w:val="en-US"/>
        </w:rPr>
        <w:t>e</w:t>
      </w:r>
      <w:r>
        <w:rPr>
          <w:lang w:val="en-US"/>
        </w:rPr>
        <w:t>ter size is around 5 cm. In other words, the local power flux in the mirror will be relatively low. For a more precise calculation the va</w:t>
      </w:r>
      <w:r>
        <w:rPr>
          <w:lang w:val="en-US"/>
        </w:rPr>
        <w:t>r</w:t>
      </w:r>
      <w:r>
        <w:rPr>
          <w:lang w:val="en-US"/>
        </w:rPr>
        <w:t>iation in view ang</w:t>
      </w:r>
      <w:r>
        <w:rPr>
          <w:lang w:val="en-US"/>
        </w:rPr>
        <w:t>le for different radial sections of the mirror and the precise vessel geometry have to be taken into account. However, it is not expected that such a calculation will significantly change the est</w:t>
      </w:r>
      <w:r>
        <w:rPr>
          <w:lang w:val="en-US"/>
        </w:rPr>
        <w:t>i</w:t>
      </w:r>
      <w:r>
        <w:rPr>
          <w:lang w:val="en-US"/>
        </w:rPr>
        <w:t>mated power.</w:t>
      </w:r>
    </w:p>
    <w:p w:rsidR="00000000" w:rsidRDefault="00061BF9">
      <w:pPr>
        <w:pStyle w:val="Header"/>
        <w:tabs>
          <w:tab w:val="clear" w:pos="4703"/>
          <w:tab w:val="clear" w:pos="9406"/>
        </w:tabs>
        <w:rPr>
          <w:b/>
          <w:bCs/>
          <w:lang w:val="en-US"/>
        </w:rPr>
      </w:pPr>
      <w:r>
        <w:rPr>
          <w:b/>
          <w:bCs/>
          <w:lang w:val="en-US"/>
        </w:rPr>
        <w:t>Consequences for mirror optics.</w:t>
      </w:r>
    </w:p>
    <w:p w:rsidR="00000000" w:rsidRDefault="00061BF9">
      <w:pPr>
        <w:pStyle w:val="Header"/>
        <w:tabs>
          <w:tab w:val="clear" w:pos="4703"/>
          <w:tab w:val="clear" w:pos="9406"/>
        </w:tabs>
        <w:spacing w:after="120"/>
        <w:rPr>
          <w:lang w:val="en-US"/>
        </w:rPr>
      </w:pPr>
      <w:r>
        <w:rPr>
          <w:lang w:val="en-US"/>
        </w:rPr>
        <w:t>The emitted pow</w:t>
      </w:r>
      <w:r>
        <w:rPr>
          <w:lang w:val="en-US"/>
        </w:rPr>
        <w:t>er will induce an axial temperature drop across the mirror. This drop, est</w:t>
      </w:r>
      <w:r>
        <w:rPr>
          <w:lang w:val="en-US"/>
        </w:rPr>
        <w:t>i</w:t>
      </w:r>
      <w:r>
        <w:rPr>
          <w:lang w:val="en-US"/>
        </w:rPr>
        <w:t xml:space="preserve">mated as 44 mK (see the calculation in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_Ref220431670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10CC9">
        <w:rPr>
          <w:lang w:val="en-US"/>
        </w:rPr>
        <w:t xml:space="preserve">Table </w:t>
      </w:r>
      <w:r w:rsidR="00F10CC9">
        <w:rPr>
          <w:noProof/>
          <w:lang w:val="en-US"/>
        </w:rPr>
        <w:t>2</w:t>
      </w:r>
      <w:r>
        <w:rPr>
          <w:lang w:val="en-US"/>
        </w:rPr>
        <w:fldChar w:fldCharType="end"/>
      </w:r>
      <w:r>
        <w:rPr>
          <w:lang w:val="en-US"/>
        </w:rPr>
        <w:t>) is hardly expected to change the mirror surface, as the emi</w:t>
      </w:r>
      <w:r>
        <w:rPr>
          <w:lang w:val="en-US"/>
        </w:rPr>
        <w:t>s</w:t>
      </w:r>
      <w:r>
        <w:rPr>
          <w:lang w:val="en-US"/>
        </w:rPr>
        <w:t>sion is almost uniform, and so is the thermal d</w:t>
      </w:r>
      <w:r>
        <w:rPr>
          <w:lang w:val="en-US"/>
        </w:rPr>
        <w:t xml:space="preserve">istribution. Moreover,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_Ref220431670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10CC9">
        <w:rPr>
          <w:lang w:val="en-US"/>
        </w:rPr>
        <w:t xml:space="preserve">Table </w:t>
      </w:r>
      <w:r w:rsidR="00F10CC9">
        <w:rPr>
          <w:noProof/>
          <w:lang w:val="en-US"/>
        </w:rPr>
        <w:t>2</w:t>
      </w:r>
      <w:r>
        <w:rPr>
          <w:lang w:val="en-US"/>
        </w:rPr>
        <w:fldChar w:fldCharType="end"/>
      </w:r>
      <w:r>
        <w:rPr>
          <w:lang w:val="en-US"/>
        </w:rPr>
        <w:t xml:space="preserve"> shows that 44 mK is less than the (estimated) temperature raise induced by absorption of laser beam power in the present Virgo mi</w:t>
      </w:r>
      <w:r>
        <w:rPr>
          <w:lang w:val="en-US"/>
        </w:rPr>
        <w:t>r</w:t>
      </w:r>
      <w:r>
        <w:rPr>
          <w:lang w:val="en-US"/>
        </w:rPr>
        <w:t xml:space="preserve">ror coating. </w:t>
      </w:r>
      <w:bookmarkStart w:id="1" w:name="_Ref220431512"/>
      <w:r>
        <w:rPr>
          <w:lang w:val="en-US"/>
        </w:rPr>
        <w:t xml:space="preserve">On the contrary, it is the radial variation of 70 mK at </w:t>
      </w:r>
      <w:r>
        <w:rPr>
          <w:lang w:val="en-US"/>
        </w:rPr>
        <w:t>the front side (estimated by van Pu</w:t>
      </w:r>
      <w:r>
        <w:rPr>
          <w:lang w:val="en-US"/>
        </w:rPr>
        <w:t>t</w:t>
      </w:r>
      <w:r>
        <w:rPr>
          <w:lang w:val="en-US"/>
        </w:rPr>
        <w:t>ten et al.) that effects the mirror optics (thermal lensing). F</w:t>
      </w:r>
      <w:r>
        <w:rPr>
          <w:lang w:val="en-US"/>
        </w:rPr>
        <w:t>i</w:t>
      </w:r>
      <w:r>
        <w:rPr>
          <w:lang w:val="en-US"/>
        </w:rPr>
        <w:t xml:space="preserve">nally the heat transfer with the cryo-vessel is a very long term process and thus instability is not an issue. </w:t>
      </w:r>
    </w:p>
    <w:p w:rsidR="00000000" w:rsidRDefault="00061BF9">
      <w:pPr>
        <w:pStyle w:val="Header"/>
        <w:tabs>
          <w:tab w:val="clear" w:pos="4703"/>
          <w:tab w:val="clear" w:pos="9406"/>
        </w:tabs>
        <w:rPr>
          <w:b/>
          <w:bCs/>
          <w:lang w:val="en-US"/>
        </w:rPr>
      </w:pPr>
      <w:r>
        <w:rPr>
          <w:b/>
          <w:bCs/>
          <w:lang w:val="en-US"/>
        </w:rPr>
        <w:t>Conclusion.</w:t>
      </w:r>
    </w:p>
    <w:p w:rsidR="00000000" w:rsidRDefault="00061BF9">
      <w:pPr>
        <w:pStyle w:val="Header"/>
        <w:tabs>
          <w:tab w:val="clear" w:pos="4703"/>
          <w:tab w:val="clear" w:pos="9406"/>
        </w:tabs>
        <w:rPr>
          <w:lang w:val="en-US"/>
        </w:rPr>
      </w:pPr>
      <w:r>
        <w:rPr>
          <w:noProof/>
          <w:sz w:val="20"/>
          <w:lang w:eastAsia="nl-NL"/>
        </w:rPr>
        <w:pict>
          <v:group id="_x0000_s1393" style="position:absolute;margin-left:11.35pt;margin-top:37.8pt;width:438pt;height:159.75pt;z-index:-251659776" coordorigin="1310,4161" coordsize="8760,3195" wrapcoords="-37 0 -37 21600 21637 21600 21637 0 -37 0">
            <v:rect id="_x0000_s1361" style="position:absolute;left:1310;top:4161;width:8760;height:3195" o:regroupid="13"/>
            <v:oval id="_x0000_s1362" style="position:absolute;left:2195;top:4686;width:465;height:2010" o:regroupid="13"/>
            <v:line id="_x0000_s1363" style="position:absolute;flip:y" from="2510,4701" to="5495,4701" o:regroupid="13"/>
            <v:line id="_x0000_s1364" style="position:absolute" from="2405,6696" to="5255,6696" o:regroupid="13"/>
            <v:oval id="_x0000_s1365" style="position:absolute;left:2195;top:4686;width:480;height:2010" o:regroupid="13" fillcolor="#cf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66" type="#_x0000_t202" style="position:absolute;left:3065;top:4251;width:1860;height:465" o:regroupid="13" filled="f" stroked="f">
              <v:textbox style="mso-next-textbox:#_x0000_s1366">
                <w:txbxContent>
                  <w:p w:rsidR="00000000" w:rsidRDefault="00061BF9">
                    <w:pPr>
                      <w:autoSpaceDE w:val="0"/>
                      <w:autoSpaceDN w:val="0"/>
                      <w:adjustRightInd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cryo-vessel</w:t>
                    </w:r>
                  </w:p>
                </w:txbxContent>
              </v:textbox>
            </v:shape>
            <v:shape id="_x0000_s1367" type="#_x0000_t202" style="position:absolute;left:2990;top:6756;width:855;height:555" o:regroupid="13" filled="f" stroked="f">
              <v:textbox style="mso-next-textbox:#_x0000_s1367">
                <w:txbxContent>
                  <w:p w:rsidR="00000000" w:rsidRDefault="00061BF9">
                    <w:pPr>
                      <w:autoSpaceDE w:val="0"/>
                      <w:autoSpaceDN w:val="0"/>
                      <w:adjustRightInd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Lv</w:t>
                    </w:r>
                  </w:p>
                </w:txbxContent>
              </v:textbox>
            </v:shape>
            <v:oval id="_x0000_s1368" style="position:absolute;left:5360;top:4671;width:450;height:2010" o:regroupid="13" fillcolor="black">
              <v:fill r:id="rId11" o:title="Lichte diagonaal omhoog" type="pattern"/>
            </v:oval>
            <v:line id="_x0000_s1369" style="position:absolute" from="5315,6681" to="5630,6681" o:regroupid="13">
              <v:stroke dashstyle="dash"/>
            </v:line>
            <v:line id="_x0000_s1370" style="position:absolute" from="2405,6861" to="5750,6861" o:regroupid="13">
              <v:stroke startarrow="block" endarrow="block"/>
            </v:line>
            <v:shapetype id="_x0000_t133" coordsize="21600,21600" o:spt="133" path="m21600,10800qy18019,21600l3581,21600qx,10800,3581,l18019,qx21600,10800xem18019,21600nfqx14438,10800,18019,e">
              <v:path o:extrusionok="f" gradientshapeok="t" o:connecttype="custom" o:connectlocs="10800,0;0,10800;10800,21600;14438,10800;21600,10800" o:connectangles="270,180,90,0,0" textboxrect="3581,0,14438,21600"/>
            </v:shapetype>
            <v:shape id="_x0000_s1371" type="#_x0000_t133" style="position:absolute;left:8975;top:5271;width:300;height:945" o:regroupid="13"/>
            <v:shape id="_x0000_s1372" type="#_x0000_t202" style="position:absolute;left:6395;top:6771;width:855;height:555" o:regroupid="13" filled="f" stroked="f">
              <v:textbox style="mso-next-textbox:#_x0000_s1372">
                <w:txbxContent>
                  <w:p w:rsidR="00000000" w:rsidRDefault="00061BF9">
                    <w:pPr>
                      <w:autoSpaceDE w:val="0"/>
                      <w:autoSpaceDN w:val="0"/>
                      <w:adjustRightInd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Lmv</w:t>
                    </w:r>
                  </w:p>
                </w:txbxContent>
              </v:textbox>
            </v:shape>
            <v:line id="_x0000_s1373" style="position:absolute" from="5765,6861" to="9110,6861" o:regroupid="13">
              <v:stroke startarrow="block" endarrow="block"/>
            </v:line>
            <v:shape id="_x0000_s1374" type="#_x0000_t202" style="position:absolute;left:1325;top:4941;width:855;height:555" o:regroupid="13" filled="f" stroked="f">
              <v:textbox style="mso-next-textbox:#_x0000_s1374">
                <w:txbxContent>
                  <w:p w:rsidR="00000000" w:rsidRDefault="00061BF9">
                    <w:pPr>
                      <w:autoSpaceDE w:val="0"/>
                      <w:autoSpaceDN w:val="0"/>
                      <w:adjustRightInd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Dv</w:t>
                    </w:r>
                  </w:p>
                </w:txbxContent>
              </v:textbox>
            </v:shape>
            <v:line id="_x0000_s1375" style="position:absolute" from="1880,4656" to="1895,6726" o:regroupid="13">
              <v:stroke startarrow="block" endarrow="block"/>
            </v:line>
            <v:shape id="_x0000_s1376" type="#_x0000_t202" style="position:absolute;left:9575;top:5451;width:480;height:555" o:regroupid="13" filled="f" stroked="f">
              <v:textbox style="mso-next-textbox:#_x0000_s1376" inset="0,0,0,0">
                <w:txbxContent>
                  <w:p w:rsidR="00000000" w:rsidRDefault="00061BF9">
                    <w:pPr>
                      <w:autoSpaceDE w:val="0"/>
                      <w:autoSpaceDN w:val="0"/>
                      <w:adjustRightInd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Dm</w:t>
                    </w:r>
                  </w:p>
                </w:txbxContent>
              </v:textbox>
            </v:shape>
            <v:line id="_x0000_s1377" style="position:absolute" from="9530,5256" to="9530,6156" o:regroupid="13">
              <v:stroke startarrow="block" endarrow="block"/>
            </v:line>
            <v:shape id="_x0000_s1378" type="#_x0000_t202" style="position:absolute;left:8765;top:4821;width:1096;height:555" o:regroupid="13" filled="f" stroked="f">
              <v:textbox style="mso-next-textbox:#_x0000_s1378">
                <w:txbxContent>
                  <w:p w:rsidR="00000000" w:rsidRDefault="00061BF9">
                    <w:pPr>
                      <w:autoSpaceDE w:val="0"/>
                      <w:autoSpaceDN w:val="0"/>
                      <w:adjustRightInd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mi</w:t>
                    </w:r>
                    <w:r>
                      <w:rPr>
                        <w:szCs w:val="24"/>
                      </w:rPr>
                      <w:t>r</w:t>
                    </w:r>
                    <w:r>
                      <w:rPr>
                        <w:szCs w:val="24"/>
                      </w:rPr>
                      <w:t>ror</w:t>
                    </w:r>
                  </w:p>
                </w:txbxContent>
              </v:textbox>
            </v:shape>
            <v:oval id="_x0000_s1379" style="position:absolute;left:5480;top:5196;width:210;height:1020" o:regroupid="13">
              <v:fill color2="fill darken(118)" method="linear sigma" focus="100%" type="gradient"/>
              <v:stroke dashstyle="dash"/>
            </v:oval>
            <v:line id="_x0000_s1382" style="position:absolute;flip:x y" from="5570,6471" to="6095,6516" o:regroupid="13">
              <v:stroke endarrow="block"/>
            </v:line>
            <v:shape id="_x0000_s1383" type="#_x0000_t202" style="position:absolute;left:6125;top:6276;width:3804;height:465" o:regroupid="13" filled="f" stroked="f">
              <v:textbox style="mso-next-textbox:#_x0000_s1383">
                <w:txbxContent>
                  <w:p w:rsidR="00000000" w:rsidRDefault="00061BF9">
                    <w:pPr>
                      <w:autoSpaceDE w:val="0"/>
                      <w:autoSpaceDN w:val="0"/>
                      <w:adjustRightInd w:val="0"/>
                      <w:rPr>
                        <w:szCs w:val="24"/>
                        <w:lang w:val="en-US"/>
                      </w:rPr>
                    </w:pPr>
                    <w:r>
                      <w:rPr>
                        <w:szCs w:val="24"/>
                        <w:lang w:val="en-US"/>
                      </w:rPr>
                      <w:t>Av-At: cold area viewed by mirror</w:t>
                    </w:r>
                  </w:p>
                </w:txbxContent>
              </v:textbox>
            </v:shape>
            <v:line id="_x0000_s1384" style="position:absolute;flip:x" from="5585,5046" to="6560,5526" o:regroupid="13">
              <v:stroke endarrow="block"/>
            </v:line>
            <v:shape id="_x0000_s1385" type="#_x0000_t202" style="position:absolute;left:6455;top:4701;width:2235;height:465" o:regroupid="13" filled="f" stroked="f">
              <v:textbox style="mso-next-textbox:#_x0000_s1385">
                <w:txbxContent>
                  <w:p w:rsidR="00000000" w:rsidRDefault="00061BF9">
                    <w:r>
                      <w:rPr>
                        <w:szCs w:val="24"/>
                      </w:rPr>
                      <w:t>At: transparant area</w:t>
                    </w:r>
                  </w:p>
                </w:txbxContent>
              </v:textbox>
            </v:shape>
            <v:rect id="_x0000_s1386" style="position:absolute;left:2495;top:4746;width:2835;height:1935" o:regroupid="13" stroked="f"/>
            <v:line id="_x0000_s1387" style="position:absolute;flip:x y" from="2465,4716" to="8975,5691" o:regroupid="13">
              <v:stroke dashstyle="dash"/>
            </v:line>
            <v:line id="_x0000_s1388" style="position:absolute;flip:x" from="2450,5736" to="8990,6696" o:regroupid="13">
              <v:stroke dashstyle="dash"/>
            </v:line>
            <v:oval id="_x0000_s1389" style="position:absolute;left:2195;top:4701;width:480;height:2010" o:regroupid="13" fillcolor="#cff">
              <v:stroke dashstyle="dash"/>
            </v:oval>
            <v:shape id="_x0000_s1390" type="#_x0000_t202" style="position:absolute;left:2150;top:5166;width:585;height:465" o:regroupid="13" filled="f" stroked="f">
              <v:textbox style="mso-next-textbox:#_x0000_s1390">
                <w:txbxContent>
                  <w:p w:rsidR="00000000" w:rsidRDefault="00061BF9">
                    <w:r>
                      <w:rPr>
                        <w:szCs w:val="24"/>
                      </w:rPr>
                      <w:t>Av</w:t>
                    </w:r>
                  </w:p>
                </w:txbxContent>
              </v:textbox>
            </v:shape>
            <v:line id="_x0000_s1391" style="position:absolute" from="2150,5706" to="8930,5721" o:regroupid="13">
              <v:stroke dashstyle="dash"/>
            </v:line>
            <w10:wrap type="topAndBottom"/>
          </v:group>
        </w:pict>
      </w:r>
      <w:r>
        <w:rPr>
          <w:lang w:val="en-US"/>
        </w:rPr>
        <w:t>From the previous consideration</w:t>
      </w:r>
      <w:r>
        <w:rPr>
          <w:lang w:val="en-US"/>
        </w:rPr>
        <w:t xml:space="preserve">s it can be concluded that </w:t>
      </w:r>
      <w:r>
        <w:rPr>
          <w:i/>
          <w:iCs/>
          <w:lang w:val="en-US"/>
        </w:rPr>
        <w:t>no consequences</w:t>
      </w:r>
      <w:r>
        <w:rPr>
          <w:lang w:val="en-US"/>
        </w:rPr>
        <w:t xml:space="preserve"> for the mirror optical pe</w:t>
      </w:r>
      <w:r>
        <w:rPr>
          <w:lang w:val="en-US"/>
        </w:rPr>
        <w:t>r</w:t>
      </w:r>
      <w:r>
        <w:rPr>
          <w:lang w:val="en-US"/>
        </w:rPr>
        <w:t>fo</w:t>
      </w:r>
      <w:r>
        <w:rPr>
          <w:lang w:val="en-US"/>
        </w:rPr>
        <w:t>r</w:t>
      </w:r>
      <w:r>
        <w:rPr>
          <w:lang w:val="en-US"/>
        </w:rPr>
        <w:t>mance are expected.</w:t>
      </w:r>
    </w:p>
    <w:p w:rsidR="00000000" w:rsidRDefault="00061BF9">
      <w:pPr>
        <w:pStyle w:val="Caption"/>
        <w:jc w:val="center"/>
        <w:rPr>
          <w:lang w:val="en-US"/>
        </w:rPr>
      </w:pPr>
      <w:bookmarkStart w:id="2" w:name="_Ref220432935"/>
      <w:r>
        <w:rPr>
          <w:lang w:val="en-US"/>
        </w:rPr>
        <w:t xml:space="preserve">Figure </w:t>
      </w:r>
      <w:r>
        <w:fldChar w:fldCharType="begin"/>
      </w:r>
      <w:r>
        <w:rPr>
          <w:lang w:val="en-US"/>
        </w:rPr>
        <w:instrText xml:space="preserve"> SEQ Figure \* ARABIC </w:instrText>
      </w:r>
      <w:r>
        <w:fldChar w:fldCharType="separate"/>
      </w:r>
      <w:r w:rsidR="00F10CC9">
        <w:rPr>
          <w:noProof/>
          <w:lang w:val="en-US"/>
        </w:rPr>
        <w:t>1</w:t>
      </w:r>
      <w:r>
        <w:fldChar w:fldCharType="end"/>
      </w:r>
      <w:bookmarkEnd w:id="2"/>
      <w:r>
        <w:rPr>
          <w:lang w:val="en-US"/>
        </w:rPr>
        <w:t>. Sketch of the geometry relevant for the mirror- cryo-vessel radiative heat exchange.</w:t>
      </w:r>
      <w:r>
        <w:rPr>
          <w:lang w:val="en-US"/>
        </w:rPr>
        <w:br w:type="page"/>
      </w:r>
      <w:bookmarkEnd w:id="1"/>
      <w:r w:rsidR="00F10CC9">
        <w:rPr>
          <w:noProof/>
          <w:lang w:val="en-US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-254000</wp:posOffset>
            </wp:positionV>
            <wp:extent cx="5937250" cy="5223510"/>
            <wp:effectExtent l="19050" t="0" r="6350" b="0"/>
            <wp:wrapSquare wrapText="bothSides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22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Table </w:t>
      </w:r>
      <w:r>
        <w:fldChar w:fldCharType="begin"/>
      </w:r>
      <w:r>
        <w:rPr>
          <w:lang w:val="en-US"/>
        </w:rPr>
        <w:instrText xml:space="preserve"> SEQ Table \* ARABIC </w:instrText>
      </w:r>
      <w:r>
        <w:fldChar w:fldCharType="separate"/>
      </w:r>
      <w:r w:rsidR="00F10CC9">
        <w:rPr>
          <w:noProof/>
          <w:lang w:val="en-US"/>
        </w:rPr>
        <w:t>1</w:t>
      </w:r>
      <w:r>
        <w:fldChar w:fldCharType="end"/>
      </w:r>
      <w:r>
        <w:rPr>
          <w:lang w:val="en-US"/>
        </w:rPr>
        <w:t xml:space="preserve"> Calculation</w:t>
      </w:r>
      <w:r>
        <w:rPr>
          <w:lang w:val="en-US"/>
        </w:rPr>
        <w:t xml:space="preserve"> of power transfer between Advanced Virgo mirror and the adjacent cryo-ve</w:t>
      </w:r>
      <w:r>
        <w:rPr>
          <w:lang w:val="en-US"/>
        </w:rPr>
        <w:t>s</w:t>
      </w:r>
      <w:r>
        <w:rPr>
          <w:lang w:val="en-US"/>
        </w:rPr>
        <w:t>sel.</w:t>
      </w:r>
    </w:p>
    <w:p w:rsidR="00000000" w:rsidRDefault="00061BF9">
      <w:pPr>
        <w:jc w:val="center"/>
        <w:rPr>
          <w:lang w:val="en-US"/>
        </w:rPr>
      </w:pPr>
    </w:p>
    <w:p w:rsidR="00061BF9" w:rsidRDefault="00F10CC9">
      <w:pPr>
        <w:pStyle w:val="Caption"/>
        <w:jc w:val="center"/>
        <w:rPr>
          <w:lang w:val="en-US"/>
        </w:rPr>
      </w:pPr>
      <w:bookmarkStart w:id="3" w:name="_Ref220431670"/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20320</wp:posOffset>
            </wp:positionV>
            <wp:extent cx="5461635" cy="2705100"/>
            <wp:effectExtent l="19050" t="0" r="5715" b="0"/>
            <wp:wrapTopAndBottom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635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1BF9">
        <w:rPr>
          <w:lang w:val="en-US"/>
        </w:rPr>
        <w:t xml:space="preserve">Table </w:t>
      </w:r>
      <w:r w:rsidR="00061BF9">
        <w:fldChar w:fldCharType="begin"/>
      </w:r>
      <w:r w:rsidR="00061BF9">
        <w:rPr>
          <w:lang w:val="en-US"/>
        </w:rPr>
        <w:instrText xml:space="preserve"> SEQ Table \* ARABIC </w:instrText>
      </w:r>
      <w:r w:rsidR="00061BF9">
        <w:fldChar w:fldCharType="separate"/>
      </w:r>
      <w:r>
        <w:rPr>
          <w:noProof/>
          <w:lang w:val="en-US"/>
        </w:rPr>
        <w:t>2</w:t>
      </w:r>
      <w:r w:rsidR="00061BF9">
        <w:fldChar w:fldCharType="end"/>
      </w:r>
      <w:bookmarkEnd w:id="3"/>
      <w:r w:rsidR="00061BF9">
        <w:rPr>
          <w:lang w:val="en-US"/>
        </w:rPr>
        <w:t>. Calculation of axial Temperature drop across the mirror due to the emitted power from T</w:t>
      </w:r>
      <w:r w:rsidR="00061BF9">
        <w:rPr>
          <w:lang w:val="en-US"/>
        </w:rPr>
        <w:t>a</w:t>
      </w:r>
      <w:r w:rsidR="00061BF9">
        <w:rPr>
          <w:lang w:val="en-US"/>
        </w:rPr>
        <w:t>ble 1.</w:t>
      </w:r>
    </w:p>
    <w:sectPr w:rsidR="00061BF9">
      <w:headerReference w:type="default" r:id="rId14"/>
      <w:footerReference w:type="even" r:id="rId15"/>
      <w:footerReference w:type="default" r:id="rId16"/>
      <w:pgSz w:w="11901" w:h="16840" w:code="9"/>
      <w:pgMar w:top="1560" w:right="702" w:bottom="851" w:left="1304" w:header="425" w:footer="2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F9" w:rsidRDefault="00061BF9">
      <w:r>
        <w:separator/>
      </w:r>
    </w:p>
  </w:endnote>
  <w:endnote w:type="continuationSeparator" w:id="0">
    <w:p w:rsidR="00061BF9" w:rsidRDefault="00061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 Regular">
    <w:altName w:val="Garamond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1B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061BF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1B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0CC9"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061BF9">
    <w:pPr>
      <w:pStyle w:val="Footer"/>
      <w:ind w:right="360"/>
      <w:jc w:val="center"/>
      <w:rPr>
        <w:sz w:val="18"/>
        <w:vertAlign w:val="superscript"/>
        <w:lang w:val="nb-NO"/>
      </w:rPr>
    </w:pPr>
    <w:r>
      <w:rPr>
        <w:spacing w:val="6"/>
        <w:kern w:val="23"/>
        <w:sz w:val="18"/>
        <w:lang w:val="nb-NO"/>
      </w:rPr>
      <w:t xml:space="preserve">E. Hennes, </w:t>
    </w:r>
    <w:r>
      <w:rPr>
        <w:spacing w:val="6"/>
        <w:kern w:val="23"/>
        <w:sz w:val="18"/>
      </w:rPr>
      <w:fldChar w:fldCharType="begin"/>
    </w:r>
    <w:r>
      <w:rPr>
        <w:spacing w:val="6"/>
        <w:kern w:val="23"/>
        <w:sz w:val="18"/>
        <w:lang w:val="nb-NO"/>
      </w:rPr>
      <w:instrText xml:space="preserve"> FILENAME </w:instrText>
    </w:r>
    <w:r>
      <w:rPr>
        <w:spacing w:val="6"/>
        <w:kern w:val="23"/>
        <w:sz w:val="18"/>
      </w:rPr>
      <w:fldChar w:fldCharType="separate"/>
    </w:r>
    <w:r w:rsidR="00F10CC9">
      <w:rPr>
        <w:noProof/>
        <w:spacing w:val="6"/>
        <w:kern w:val="23"/>
        <w:sz w:val="18"/>
        <w:lang w:val="nb-NO"/>
      </w:rPr>
      <w:t>Heat_transfer_mirror_cryo_vessel_1.1.doc</w:t>
    </w:r>
    <w:r>
      <w:rPr>
        <w:spacing w:val="6"/>
        <w:kern w:val="23"/>
        <w:sz w:val="18"/>
      </w:rPr>
      <w:fldChar w:fldCharType="end"/>
    </w:r>
    <w:r>
      <w:rPr>
        <w:spacing w:val="6"/>
        <w:kern w:val="23"/>
        <w:sz w:val="18"/>
        <w:lang w:val="nb-NO"/>
      </w:rPr>
      <w:t xml:space="preserve">, </w:t>
    </w:r>
    <w:r>
      <w:rPr>
        <w:spacing w:val="6"/>
        <w:kern w:val="23"/>
        <w:sz w:val="18"/>
      </w:rPr>
      <w:fldChar w:fldCharType="begin"/>
    </w:r>
    <w:r>
      <w:rPr>
        <w:spacing w:val="6"/>
        <w:kern w:val="23"/>
        <w:sz w:val="18"/>
      </w:rPr>
      <w:instrText xml:space="preserve"> DATE \@ "M/d/yyyy" </w:instrText>
    </w:r>
    <w:r>
      <w:rPr>
        <w:spacing w:val="6"/>
        <w:kern w:val="23"/>
        <w:sz w:val="18"/>
      </w:rPr>
      <w:fldChar w:fldCharType="separate"/>
    </w:r>
    <w:r w:rsidR="00F10CC9">
      <w:rPr>
        <w:noProof/>
        <w:spacing w:val="6"/>
        <w:kern w:val="23"/>
        <w:sz w:val="18"/>
      </w:rPr>
      <w:t>5/6/2011</w:t>
    </w:r>
    <w:r>
      <w:rPr>
        <w:spacing w:val="6"/>
        <w:kern w:val="23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F9" w:rsidRDefault="00061BF9">
      <w:r>
        <w:separator/>
      </w:r>
    </w:p>
  </w:footnote>
  <w:footnote w:type="continuationSeparator" w:id="0">
    <w:p w:rsidR="00061BF9" w:rsidRDefault="00061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0CC9">
    <w:pPr>
      <w:pStyle w:val="Header"/>
      <w:jc w:val="right"/>
      <w:rPr>
        <w:sz w:val="28"/>
      </w:rPr>
    </w:pPr>
    <w:r>
      <w:rPr>
        <w:rFonts w:ascii="Garamond Regular" w:hAnsi="Garamond Regular"/>
        <w:smallCaps/>
        <w:noProof/>
        <w:spacing w:val="6"/>
        <w:kern w:val="23"/>
        <w:sz w:val="28"/>
        <w:lang w:val="en-US"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1058545</wp:posOffset>
          </wp:positionH>
          <wp:positionV relativeFrom="page">
            <wp:posOffset>364490</wp:posOffset>
          </wp:positionV>
          <wp:extent cx="431800" cy="431800"/>
          <wp:effectExtent l="1905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1BF9">
      <w:rPr>
        <w:rFonts w:ascii="Garamond Regular" w:hAnsi="Garamond Regular"/>
        <w:smallCaps/>
        <w:spacing w:val="6"/>
        <w:kern w:val="23"/>
        <w:sz w:val="28"/>
      </w:rPr>
      <w:t>Faculteit der Natuurwetenschappen,</w:t>
    </w:r>
    <w:r w:rsidR="00061BF9">
      <w:rPr>
        <w:rFonts w:ascii="Garamond Regular" w:hAnsi="Garamond Regular"/>
        <w:smallCaps/>
        <w:spacing w:val="6"/>
        <w:kern w:val="23"/>
        <w:sz w:val="28"/>
      </w:rPr>
      <w:t xml:space="preserve"> Wiskunde en Informatica</w:t>
    </w:r>
  </w:p>
  <w:p w:rsidR="00000000" w:rsidRDefault="00061BF9">
    <w:pPr>
      <w:pStyle w:val="Header"/>
      <w:spacing w:before="80"/>
      <w:jc w:val="center"/>
      <w:rPr>
        <w:i/>
        <w:iCs/>
      </w:rPr>
    </w:pPr>
    <w:r>
      <w:rPr>
        <w:i/>
        <w:iCs/>
      </w:rPr>
      <w:t>Dienst Technologie</w:t>
    </w:r>
  </w:p>
  <w:p w:rsidR="00000000" w:rsidRDefault="00061B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7040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0000003"/>
    <w:multiLevelType w:val="singleLevel"/>
    <w:tmpl w:val="0007040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37B418D"/>
    <w:multiLevelType w:val="hybridMultilevel"/>
    <w:tmpl w:val="221A8FC0"/>
    <w:lvl w:ilvl="0" w:tplc="4A181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8123F4"/>
    <w:multiLevelType w:val="hybridMultilevel"/>
    <w:tmpl w:val="EDD0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CB312F"/>
    <w:multiLevelType w:val="hybridMultilevel"/>
    <w:tmpl w:val="32A2D21C"/>
    <w:lvl w:ilvl="0" w:tplc="E54C5566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163BE"/>
    <w:multiLevelType w:val="hybridMultilevel"/>
    <w:tmpl w:val="9912B8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E903E9"/>
    <w:multiLevelType w:val="hybridMultilevel"/>
    <w:tmpl w:val="7108D9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B0B8B"/>
    <w:multiLevelType w:val="hybridMultilevel"/>
    <w:tmpl w:val="6D003716"/>
    <w:lvl w:ilvl="0" w:tplc="C280390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15157"/>
    <w:multiLevelType w:val="hybridMultilevel"/>
    <w:tmpl w:val="603E935C"/>
    <w:lvl w:ilvl="0" w:tplc="3D6A9612">
      <w:start w:val="1"/>
      <w:numFmt w:val="decimal"/>
      <w:lvlText w:val="(%1)"/>
      <w:lvlJc w:val="left"/>
      <w:pPr>
        <w:tabs>
          <w:tab w:val="num" w:pos="1257"/>
        </w:tabs>
        <w:ind w:left="1257" w:hanging="5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4775E"/>
    <w:multiLevelType w:val="hybridMultilevel"/>
    <w:tmpl w:val="31BC5B2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04E1"/>
    <w:multiLevelType w:val="hybridMultilevel"/>
    <w:tmpl w:val="D4DA3F9C"/>
    <w:lvl w:ilvl="0" w:tplc="E54C5566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E25EBD"/>
    <w:multiLevelType w:val="hybridMultilevel"/>
    <w:tmpl w:val="EE3053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72541C"/>
    <w:multiLevelType w:val="hybridMultilevel"/>
    <w:tmpl w:val="1DEEB4A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A40C69"/>
    <w:multiLevelType w:val="hybridMultilevel"/>
    <w:tmpl w:val="FF8C617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D913441"/>
    <w:multiLevelType w:val="hybridMultilevel"/>
    <w:tmpl w:val="BE544F08"/>
    <w:lvl w:ilvl="0" w:tplc="B636CD7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784631"/>
    <w:multiLevelType w:val="hybridMultilevel"/>
    <w:tmpl w:val="0406B1A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0B93280"/>
    <w:multiLevelType w:val="hybridMultilevel"/>
    <w:tmpl w:val="1DEEB4A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F967F52"/>
    <w:multiLevelType w:val="hybridMultilevel"/>
    <w:tmpl w:val="67AE0AB0"/>
    <w:lvl w:ilvl="0" w:tplc="2FB8213E">
      <w:start w:val="3"/>
      <w:numFmt w:val="decimal"/>
      <w:lvlText w:val="(%1)             "/>
      <w:lvlJc w:val="left"/>
      <w:pPr>
        <w:tabs>
          <w:tab w:val="num" w:pos="178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971C32"/>
    <w:multiLevelType w:val="hybridMultilevel"/>
    <w:tmpl w:val="3D22AAD0"/>
    <w:lvl w:ilvl="0" w:tplc="6508460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00D6F"/>
    <w:multiLevelType w:val="hybridMultilevel"/>
    <w:tmpl w:val="18A0131E"/>
    <w:lvl w:ilvl="0" w:tplc="D14E21C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375D3F"/>
    <w:multiLevelType w:val="hybridMultilevel"/>
    <w:tmpl w:val="BAFA82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3FB7A3B"/>
    <w:multiLevelType w:val="hybridMultilevel"/>
    <w:tmpl w:val="E01C0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766F9E"/>
    <w:multiLevelType w:val="hybridMultilevel"/>
    <w:tmpl w:val="88048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E712C"/>
    <w:multiLevelType w:val="hybridMultilevel"/>
    <w:tmpl w:val="C4DA627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731889"/>
    <w:multiLevelType w:val="hybridMultilevel"/>
    <w:tmpl w:val="06B24230"/>
    <w:lvl w:ilvl="0" w:tplc="6BD8A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C67B9F"/>
    <w:multiLevelType w:val="hybridMultilevel"/>
    <w:tmpl w:val="9CACE142"/>
    <w:lvl w:ilvl="0" w:tplc="2FB8213E">
      <w:start w:val="3"/>
      <w:numFmt w:val="decimal"/>
      <w:lvlText w:val="(%1)             "/>
      <w:lvlJc w:val="left"/>
      <w:pPr>
        <w:tabs>
          <w:tab w:val="num" w:pos="178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2E230E"/>
    <w:multiLevelType w:val="hybridMultilevel"/>
    <w:tmpl w:val="00A8A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B1051F"/>
    <w:multiLevelType w:val="hybridMultilevel"/>
    <w:tmpl w:val="3E1E7EFE"/>
    <w:lvl w:ilvl="0" w:tplc="44BC3E4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B52D72"/>
    <w:multiLevelType w:val="hybridMultilevel"/>
    <w:tmpl w:val="63F8A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BB2374"/>
    <w:multiLevelType w:val="hybridMultilevel"/>
    <w:tmpl w:val="C382F338"/>
    <w:lvl w:ilvl="0" w:tplc="3D6A9612">
      <w:start w:val="1"/>
      <w:numFmt w:val="decimal"/>
      <w:lvlText w:val="(%1)"/>
      <w:lvlJc w:val="left"/>
      <w:pPr>
        <w:tabs>
          <w:tab w:val="num" w:pos="1257"/>
        </w:tabs>
        <w:ind w:left="1257" w:hanging="549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0967FB8"/>
    <w:multiLevelType w:val="hybridMultilevel"/>
    <w:tmpl w:val="F32EBAB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BB699E"/>
    <w:multiLevelType w:val="multilevel"/>
    <w:tmpl w:val="2C62FDB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41E658D"/>
    <w:multiLevelType w:val="hybridMultilevel"/>
    <w:tmpl w:val="60B46B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1"/>
  </w:num>
  <w:num w:numId="5">
    <w:abstractNumId w:val="22"/>
  </w:num>
  <w:num w:numId="6">
    <w:abstractNumId w:val="26"/>
  </w:num>
  <w:num w:numId="7">
    <w:abstractNumId w:val="3"/>
  </w:num>
  <w:num w:numId="8">
    <w:abstractNumId w:val="12"/>
  </w:num>
  <w:num w:numId="9">
    <w:abstractNumId w:val="16"/>
  </w:num>
  <w:num w:numId="10">
    <w:abstractNumId w:val="6"/>
  </w:num>
  <w:num w:numId="11">
    <w:abstractNumId w:val="19"/>
  </w:num>
  <w:num w:numId="12">
    <w:abstractNumId w:val="27"/>
  </w:num>
  <w:num w:numId="13">
    <w:abstractNumId w:val="7"/>
  </w:num>
  <w:num w:numId="14">
    <w:abstractNumId w:val="18"/>
  </w:num>
  <w:num w:numId="15">
    <w:abstractNumId w:val="11"/>
  </w:num>
  <w:num w:numId="16">
    <w:abstractNumId w:val="20"/>
  </w:num>
  <w:num w:numId="17">
    <w:abstractNumId w:val="30"/>
  </w:num>
  <w:num w:numId="18">
    <w:abstractNumId w:val="15"/>
  </w:num>
  <w:num w:numId="19">
    <w:abstractNumId w:val="2"/>
  </w:num>
  <w:num w:numId="20">
    <w:abstractNumId w:val="31"/>
  </w:num>
  <w:num w:numId="21">
    <w:abstractNumId w:val="13"/>
  </w:num>
  <w:num w:numId="22">
    <w:abstractNumId w:val="23"/>
  </w:num>
  <w:num w:numId="23">
    <w:abstractNumId w:val="14"/>
  </w:num>
  <w:num w:numId="24">
    <w:abstractNumId w:val="5"/>
  </w:num>
  <w:num w:numId="25">
    <w:abstractNumId w:val="32"/>
  </w:num>
  <w:num w:numId="26">
    <w:abstractNumId w:val="10"/>
  </w:num>
  <w:num w:numId="27">
    <w:abstractNumId w:val="4"/>
  </w:num>
  <w:num w:numId="28">
    <w:abstractNumId w:val="28"/>
  </w:num>
  <w:num w:numId="29">
    <w:abstractNumId w:val="29"/>
  </w:num>
  <w:num w:numId="30">
    <w:abstractNumId w:val="2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5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drawingGridHorizontalSpacing w:val="17"/>
  <w:drawingGridVerticalSpacing w:val="1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10CC9"/>
    <w:rsid w:val="00061BF9"/>
    <w:rsid w:val="00F1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nl-NL"/>
    </w:rPr>
  </w:style>
  <w:style w:type="paragraph" w:styleId="Heading1">
    <w:name w:val="heading 1"/>
    <w:basedOn w:val="Normal"/>
    <w:next w:val="Normal"/>
    <w:qFormat/>
    <w:pPr>
      <w:keepNext/>
      <w:numPr>
        <w:numId w:val="20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0"/>
      </w:numPr>
      <w:ind w:left="0" w:firstLine="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20"/>
      </w:numPr>
      <w:outlineLvl w:val="2"/>
    </w:pPr>
    <w:rPr>
      <w:b/>
      <w:bCs/>
      <w:iCs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0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0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BodyText2">
    <w:name w:val="Body Text 2"/>
    <w:basedOn w:val="Normal"/>
    <w:semiHidden/>
    <w:pPr>
      <w:jc w:val="both"/>
    </w:pPr>
    <w:rPr>
      <w:color w:val="000000"/>
      <w:sz w:val="22"/>
    </w:rPr>
  </w:style>
  <w:style w:type="paragraph" w:styleId="BodyTextIndent">
    <w:name w:val="Body Text Indent"/>
    <w:basedOn w:val="Normal"/>
    <w:semiHidden/>
    <w:pPr>
      <w:ind w:left="2160" w:hanging="2250"/>
    </w:pPr>
  </w:style>
  <w:style w:type="paragraph" w:styleId="BodyTextIndent2">
    <w:name w:val="Body Text Indent 2"/>
    <w:basedOn w:val="Normal"/>
    <w:semiHidden/>
    <w:pPr>
      <w:ind w:left="2070" w:hanging="2070"/>
    </w:pPr>
  </w:style>
  <w:style w:type="paragraph" w:styleId="HTMLPreformatted">
    <w:name w:val="HTML Preformatted"/>
    <w:aliases w:val=" vooraf opgemaakt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lang w:val="en-US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3">
    <w:name w:val="Body Text 3"/>
    <w:basedOn w:val="Normal"/>
    <w:semiHidden/>
    <w:pPr>
      <w:jc w:val="center"/>
    </w:pPr>
    <w:rPr>
      <w:b/>
      <w:bCs/>
      <w:i/>
      <w:iCs/>
      <w:sz w:val="2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ind w:left="142"/>
    </w:pPr>
  </w:style>
  <w:style w:type="paragraph" w:styleId="TOC1">
    <w:name w:val="toc 1"/>
    <w:basedOn w:val="Normal"/>
    <w:next w:val="Normal"/>
    <w:autoRedefine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Microsoft%20Office%2098:Templates:Hfd_Mech_%20sjablo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Hfd_Mech_ sjabloon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UvA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J.P.J. Brandt</dc:creator>
  <cp:lastModifiedBy>van den Brand</cp:lastModifiedBy>
  <cp:revision>2</cp:revision>
  <cp:lastPrinted>2011-05-06T19:24:00Z</cp:lastPrinted>
  <dcterms:created xsi:type="dcterms:W3CDTF">2011-05-06T19:24:00Z</dcterms:created>
  <dcterms:modified xsi:type="dcterms:W3CDTF">2011-05-06T19:24:00Z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937724944</vt:i4>
  </property>
  <property fmtid="{D5CDD505-2E9C-101B-9397-08002B2CF9AE}" pid="3" name="_EmailSubject">
    <vt:lpwstr>commentaar rapport</vt:lpwstr>
  </property>
  <property fmtid="{D5CDD505-2E9C-101B-9397-08002B2CF9AE}" pid="4" name="_AuthorEmail">
    <vt:lpwstr>lieshout@science.uva.nl</vt:lpwstr>
  </property>
  <property fmtid="{D5CDD505-2E9C-101B-9397-08002B2CF9AE}" pid="5" name="_AuthorEmailDisplayName">
    <vt:lpwstr>Theo van Lieshout</vt:lpwstr>
  </property>
  <property fmtid="{D5CDD505-2E9C-101B-9397-08002B2CF9AE}" pid="6" name="_ReviewingToolsShownOnce">
    <vt:lpwstr/>
  </property>
</Properties>
</file>